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6af2801428458a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10688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PRVA OSNOVNA ŠKOLA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>I - VI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1.238.723,08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1.350.608,08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109,0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1.221.563,31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1.548.066,48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126,7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197.458,40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58,16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176,54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303,5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13.728,23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2.564,96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13.670,07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2.388,42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17,5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199.846,82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Manjak prihoda i primitaka (šifra Y005) od 199.846,00 dijelom od 181.532,66 eura odnosi se na plaće knjižene 30.6.2025.
a ostali dio od 18.313,34 eura odnosi se na račune za Prehranu standard MZO plaćene djelom u srpnju 2025.g. te preostale neplaćene račune.
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11.711,91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pPr>
        <w:jc w:val="both"/>
        <w:pStyle w:val="Normal"/>
        <w:spacing w:line="240" w:lineRule="auto"/>
      </w:pPr>
      <w:r>
        <w:rPr>
          <w:sz w:val="24"/>
          <w:rFonts w:ascii="Times New Roman" w:hAnsi="Times New Roman"/>
        </w:rPr>
        <w:t>Stanje dospjelih obveza na kraju izvještajnog razdoblja V007 iznosi 11.711,91 eura te cjelokupni
iznos odnosi se na račune za Prehranu standard MZO. </w:t>
      </w:r>
    </w:p>
    <w:p/>
  </w:body>
</w:document>
</file>

<file path=word/styles.xml><?xml version="1.0" encoding="utf-8"?>
<w:styles xmlns:w="http://schemas.openxmlformats.org/wordprocessingml/2006/main"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762b7474fe9b46a1" /></Relationships>
</file>